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2F02" w:rsidRPr="006A7B20" w:rsidRDefault="00E12F02" w:rsidP="00B36EDF">
      <w:pPr>
        <w:pBdr>
          <w:top w:val="single" w:sz="8" w:space="1" w:color="auto"/>
          <w:left w:val="single" w:sz="8" w:space="4" w:color="auto"/>
          <w:bottom w:val="single" w:sz="8" w:space="1" w:color="auto"/>
          <w:right w:val="single" w:sz="8" w:space="4" w:color="auto"/>
        </w:pBdr>
        <w:spacing w:before="600"/>
        <w:jc w:val="center"/>
        <w:rPr>
          <w:rFonts w:ascii="Arial" w:eastAsia="Batang" w:hAnsi="Arial" w:cs="Arial"/>
          <w:b/>
          <w:sz w:val="32"/>
          <w:szCs w:val="32"/>
        </w:rPr>
      </w:pPr>
      <w:bookmarkStart w:id="0" w:name="_Toc77134455"/>
      <w:r w:rsidRPr="006A7B20">
        <w:rPr>
          <w:rFonts w:ascii="Arial" w:eastAsia="Batang" w:hAnsi="Arial" w:cs="Arial"/>
          <w:b/>
          <w:sz w:val="32"/>
          <w:szCs w:val="32"/>
        </w:rPr>
        <w:t>Notice d’utilisation du catalogue Cerbère</w:t>
      </w:r>
      <w:bookmarkEnd w:id="0"/>
      <w:r w:rsidRPr="006A7B20">
        <w:rPr>
          <w:rFonts w:ascii="Arial" w:eastAsia="Batang" w:hAnsi="Arial" w:cs="Arial"/>
          <w:b/>
          <w:sz w:val="32"/>
          <w:szCs w:val="32"/>
          <w:vertAlign w:val="superscript"/>
        </w:rPr>
        <w:t>®</w:t>
      </w:r>
    </w:p>
    <w:p w:rsidR="00E12F02" w:rsidRPr="006A7B20" w:rsidRDefault="00E12F02">
      <w:pPr>
        <w:spacing w:before="480"/>
        <w:jc w:val="both"/>
        <w:rPr>
          <w:rFonts w:ascii="Arial" w:eastAsia="Batang" w:hAnsi="Arial" w:cs="Arial"/>
          <w:b/>
        </w:rPr>
      </w:pPr>
      <w:r w:rsidRPr="006A7B20">
        <w:rPr>
          <w:rFonts w:ascii="Arial" w:eastAsia="Batang" w:hAnsi="Arial" w:cs="Arial"/>
          <w:b/>
        </w:rPr>
        <w:t>Dans le but de simplifier et d’alléger la saisie des offres de prix, le catalogue des besoins est proposé au format Cerbère</w:t>
      </w:r>
      <w:r w:rsidRPr="006A7B20">
        <w:rPr>
          <w:rFonts w:ascii="Arial" w:eastAsia="Batang" w:hAnsi="Arial" w:cs="Arial"/>
          <w:b/>
          <w:bCs/>
          <w:vertAlign w:val="superscript"/>
        </w:rPr>
        <w:t>®</w:t>
      </w:r>
      <w:r w:rsidRPr="006A7B20">
        <w:rPr>
          <w:rFonts w:ascii="Arial" w:eastAsia="Batang" w:hAnsi="Arial" w:cs="Arial"/>
          <w:b/>
        </w:rPr>
        <w:t xml:space="preserve"> (</w:t>
      </w:r>
      <w:r w:rsidRPr="006A7B20">
        <w:rPr>
          <w:rFonts w:ascii="Arial" w:eastAsia="Batang" w:hAnsi="Arial" w:cs="Arial"/>
          <w:b/>
          <w:color w:val="993366"/>
        </w:rPr>
        <w:t>fichier CMP</w:t>
      </w:r>
      <w:r w:rsidRPr="006A7B20">
        <w:rPr>
          <w:rFonts w:ascii="Arial" w:eastAsia="Batang" w:hAnsi="Arial" w:cs="Arial"/>
          <w:b/>
        </w:rPr>
        <w:t>) et joint au présent DCE.</w:t>
      </w:r>
    </w:p>
    <w:p w:rsidR="00E12F02" w:rsidRPr="006A7B20" w:rsidRDefault="00E12F02">
      <w:pPr>
        <w:spacing w:before="240"/>
        <w:jc w:val="both"/>
        <w:rPr>
          <w:rFonts w:ascii="Arial" w:eastAsia="Batang" w:hAnsi="Arial" w:cs="Arial"/>
          <w:b/>
        </w:rPr>
      </w:pPr>
      <w:r w:rsidRPr="006A7B20">
        <w:rPr>
          <w:rFonts w:ascii="Arial" w:eastAsia="Batang" w:hAnsi="Arial" w:cs="Arial"/>
          <w:b/>
        </w:rPr>
        <w:t xml:space="preserve">Vous devrez prendre connaissance des principes techniques et méthodologiques exprimés ci-dessous qui vous permettront de répondre au catalogue CMP par une offre électronique. </w:t>
      </w:r>
    </w:p>
    <w:p w:rsidR="00E12F02" w:rsidRPr="006A7B20" w:rsidRDefault="00E12F02" w:rsidP="00B36EDF">
      <w:pPr>
        <w:numPr>
          <w:ilvl w:val="0"/>
          <w:numId w:val="26"/>
        </w:numPr>
        <w:tabs>
          <w:tab w:val="clear" w:pos="720"/>
          <w:tab w:val="num" w:pos="540"/>
        </w:tabs>
        <w:spacing w:before="480"/>
        <w:ind w:left="540" w:hanging="540"/>
        <w:rPr>
          <w:rFonts w:ascii="Arial" w:eastAsia="Batang" w:hAnsi="Arial" w:cs="Arial"/>
          <w:b/>
          <w:sz w:val="28"/>
          <w:szCs w:val="28"/>
        </w:rPr>
      </w:pPr>
      <w:r w:rsidRPr="006A7B20">
        <w:rPr>
          <w:rFonts w:ascii="Arial" w:eastAsia="Batang" w:hAnsi="Arial" w:cs="Arial"/>
          <w:b/>
          <w:sz w:val="28"/>
          <w:szCs w:val="28"/>
        </w:rPr>
        <w:t>Principes techniques</w:t>
      </w:r>
    </w:p>
    <w:p w:rsidR="00E12F02" w:rsidRPr="006A7B20" w:rsidRDefault="00E12F02" w:rsidP="00472783">
      <w:pPr>
        <w:numPr>
          <w:ilvl w:val="0"/>
          <w:numId w:val="9"/>
        </w:numPr>
        <w:spacing w:before="240" w:after="120"/>
        <w:ind w:left="357" w:hanging="357"/>
        <w:jc w:val="both"/>
        <w:rPr>
          <w:rFonts w:ascii="Arial" w:eastAsia="Batang" w:hAnsi="Arial" w:cs="Arial"/>
        </w:rPr>
      </w:pPr>
      <w:r w:rsidRPr="006A7B20">
        <w:rPr>
          <w:rFonts w:ascii="Arial" w:eastAsia="Batang" w:hAnsi="Arial" w:cs="Arial"/>
        </w:rPr>
        <w:t>Le catalogue Cerbère</w:t>
      </w:r>
      <w:r w:rsidRPr="006A7B20">
        <w:rPr>
          <w:rFonts w:ascii="Arial" w:eastAsia="Batang" w:hAnsi="Arial" w:cs="Arial"/>
          <w:vertAlign w:val="superscript"/>
        </w:rPr>
        <w:t>®</w:t>
      </w:r>
      <w:r w:rsidRPr="006A7B20">
        <w:rPr>
          <w:rFonts w:ascii="Arial" w:eastAsia="Batang" w:hAnsi="Arial" w:cs="Arial"/>
        </w:rPr>
        <w:t xml:space="preserve"> répond au</w:t>
      </w:r>
      <w:r w:rsidRPr="006A7B20">
        <w:rPr>
          <w:rFonts w:ascii="Arial" w:eastAsia="Batang" w:hAnsi="Arial" w:cs="Arial"/>
          <w:b/>
        </w:rPr>
        <w:t xml:space="preserve"> format CMP compatible PC uniquement.</w:t>
      </w:r>
      <w:r w:rsidR="00472783" w:rsidRPr="006A7B20">
        <w:rPr>
          <w:rFonts w:ascii="Arial" w:eastAsia="Batang" w:hAnsi="Arial" w:cs="Arial"/>
        </w:rPr>
        <w:t xml:space="preserve"> Pour le lire et générer une offre de prix (sous format .</w:t>
      </w:r>
      <w:proofErr w:type="spellStart"/>
      <w:r w:rsidR="00472783" w:rsidRPr="006A7B20">
        <w:rPr>
          <w:rFonts w:ascii="Arial" w:eastAsia="Batang" w:hAnsi="Arial" w:cs="Arial"/>
        </w:rPr>
        <w:t>cry</w:t>
      </w:r>
      <w:proofErr w:type="spellEnd"/>
      <w:r w:rsidR="00472783" w:rsidRPr="006A7B20">
        <w:rPr>
          <w:rFonts w:ascii="Arial" w:eastAsia="Batang" w:hAnsi="Arial" w:cs="Arial"/>
        </w:rPr>
        <w:t>), il faut :</w:t>
      </w:r>
    </w:p>
    <w:p w:rsidR="00472783" w:rsidRPr="006A7B20" w:rsidRDefault="00472783" w:rsidP="00472783">
      <w:pPr>
        <w:spacing w:before="120" w:after="120"/>
        <w:jc w:val="both"/>
        <w:rPr>
          <w:rFonts w:ascii="Arial" w:eastAsia="Batang" w:hAnsi="Arial" w:cs="Arial"/>
        </w:rPr>
      </w:pPr>
      <w:r w:rsidRPr="006A7B20">
        <w:rPr>
          <w:rFonts w:ascii="Arial" w:eastAsia="Batang" w:hAnsi="Arial" w:cs="Arial"/>
        </w:rPr>
        <w:tab/>
        <w:t xml:space="preserve">- soit utiliser le logiciel </w:t>
      </w:r>
      <w:r w:rsidRPr="006A7B20">
        <w:rPr>
          <w:rFonts w:ascii="Arial" w:eastAsia="Batang" w:hAnsi="Arial" w:cs="Arial"/>
          <w:b/>
          <w:bCs/>
        </w:rPr>
        <w:t>Eurydice</w:t>
      </w:r>
    </w:p>
    <w:p w:rsidR="00472783" w:rsidRPr="006A7B20" w:rsidRDefault="00472783" w:rsidP="00472783">
      <w:pPr>
        <w:spacing w:before="120" w:after="240"/>
        <w:jc w:val="both"/>
        <w:rPr>
          <w:rFonts w:ascii="Arial" w:eastAsia="Batang" w:hAnsi="Arial" w:cs="Arial"/>
        </w:rPr>
      </w:pPr>
      <w:r w:rsidRPr="006A7B20">
        <w:rPr>
          <w:rFonts w:ascii="Arial" w:eastAsia="Batang" w:hAnsi="Arial" w:cs="Arial"/>
        </w:rPr>
        <w:tab/>
        <w:t>- soit utiliser gratuitement la plateforme « </w:t>
      </w:r>
      <w:proofErr w:type="spellStart"/>
      <w:r w:rsidRPr="006A7B20">
        <w:rPr>
          <w:rFonts w:ascii="Arial" w:eastAsia="Batang" w:hAnsi="Arial" w:cs="Arial"/>
        </w:rPr>
        <w:t>HéliosWeb</w:t>
      </w:r>
      <w:proofErr w:type="spellEnd"/>
      <w:r w:rsidRPr="006A7B20">
        <w:rPr>
          <w:rFonts w:ascii="Arial" w:eastAsia="Batang" w:hAnsi="Arial" w:cs="Arial"/>
        </w:rPr>
        <w:t xml:space="preserve"> » en se connectant sur </w:t>
      </w:r>
      <w:r w:rsidRPr="006A7B20">
        <w:rPr>
          <w:rFonts w:ascii="Arial" w:eastAsia="Batang" w:hAnsi="Arial" w:cs="Arial"/>
        </w:rPr>
        <w:tab/>
      </w:r>
      <w:hyperlink r:id="rId7" w:history="1">
        <w:r w:rsidRPr="006A7B20">
          <w:rPr>
            <w:rStyle w:val="Lienhypertexte"/>
            <w:rFonts w:ascii="Arial" w:eastAsia="Batang" w:hAnsi="Arial" w:cs="Arial"/>
          </w:rPr>
          <w:t>https://www.heliosweb.eu</w:t>
        </w:r>
      </w:hyperlink>
      <w:r w:rsidRPr="006A7B20">
        <w:rPr>
          <w:rFonts w:ascii="Arial" w:eastAsia="Batang" w:hAnsi="Arial" w:cs="Arial"/>
        </w:rPr>
        <w:t xml:space="preserve"> </w:t>
      </w:r>
    </w:p>
    <w:p w:rsidR="00E12F02" w:rsidRPr="006A7B20" w:rsidRDefault="00E12F02" w:rsidP="002E1A1B">
      <w:pPr>
        <w:numPr>
          <w:ilvl w:val="0"/>
          <w:numId w:val="11"/>
        </w:numPr>
        <w:spacing w:after="240"/>
        <w:jc w:val="both"/>
        <w:rPr>
          <w:rFonts w:ascii="Arial" w:eastAsia="Batang" w:hAnsi="Arial" w:cs="Arial"/>
        </w:rPr>
      </w:pPr>
      <w:r w:rsidRPr="006A7B20">
        <w:rPr>
          <w:rFonts w:ascii="Arial" w:eastAsia="Batang" w:hAnsi="Arial" w:cs="Arial"/>
        </w:rPr>
        <w:t>Toute tentative d’ouverture par des outils tels que Notepad ou Excel peut endommager le fichier.</w:t>
      </w:r>
    </w:p>
    <w:p w:rsidR="00E12F02" w:rsidRPr="006A7B20" w:rsidRDefault="00E12F02" w:rsidP="002E1A1B">
      <w:pPr>
        <w:numPr>
          <w:ilvl w:val="0"/>
          <w:numId w:val="12"/>
        </w:numPr>
        <w:spacing w:after="240"/>
        <w:jc w:val="both"/>
        <w:rPr>
          <w:rFonts w:ascii="Arial" w:eastAsia="Batang" w:hAnsi="Arial" w:cs="Arial"/>
        </w:rPr>
      </w:pPr>
      <w:r w:rsidRPr="006A7B20">
        <w:rPr>
          <w:rFonts w:ascii="Arial" w:eastAsia="Batang" w:hAnsi="Arial" w:cs="Arial"/>
        </w:rPr>
        <w:t xml:space="preserve">Dans les 2 cas, il doit être </w:t>
      </w:r>
      <w:r w:rsidRPr="006A7B20">
        <w:rPr>
          <w:rFonts w:ascii="Arial" w:eastAsia="Batang" w:hAnsi="Arial" w:cs="Arial"/>
          <w:b/>
        </w:rPr>
        <w:t>enregistré sur le poste de travail</w:t>
      </w:r>
      <w:r w:rsidRPr="006A7B20">
        <w:rPr>
          <w:rFonts w:ascii="Arial" w:eastAsia="Batang" w:hAnsi="Arial" w:cs="Arial"/>
        </w:rPr>
        <w:t xml:space="preserve"> avant toute utilisation et de préférence dans un dossier portant le nom du client.</w:t>
      </w:r>
    </w:p>
    <w:p w:rsidR="00E12F02" w:rsidRPr="006A7B20" w:rsidRDefault="00E12F02" w:rsidP="002E1A1B">
      <w:pPr>
        <w:numPr>
          <w:ilvl w:val="0"/>
          <w:numId w:val="14"/>
        </w:numPr>
        <w:spacing w:after="240"/>
        <w:jc w:val="both"/>
        <w:rPr>
          <w:rFonts w:ascii="Arial" w:eastAsia="Batang" w:hAnsi="Arial" w:cs="Arial"/>
        </w:rPr>
      </w:pPr>
      <w:r w:rsidRPr="006A7B20">
        <w:rPr>
          <w:rFonts w:ascii="Arial" w:eastAsia="Batang" w:hAnsi="Arial" w:cs="Arial"/>
        </w:rPr>
        <w:t>Les fournisseurs équipés d</w:t>
      </w:r>
      <w:r w:rsidRPr="006A7B20">
        <w:rPr>
          <w:rFonts w:ascii="Arial" w:eastAsia="Batang" w:hAnsi="Arial" w:cs="Arial"/>
          <w:b/>
        </w:rPr>
        <w:t>’Eurydice</w:t>
      </w:r>
      <w:r w:rsidRPr="006A7B20">
        <w:rPr>
          <w:rFonts w:ascii="Arial" w:eastAsia="Batang" w:hAnsi="Arial" w:cs="Arial"/>
        </w:rPr>
        <w:t xml:space="preserve"> disposent d’une icône « Épicure » permettant la lecture du catalogue, la génération automatique du dossier et la préparation de l’offre de prix.</w:t>
      </w:r>
    </w:p>
    <w:p w:rsidR="00E12F02" w:rsidRPr="006A7B20" w:rsidRDefault="00E12F02" w:rsidP="00472783">
      <w:pPr>
        <w:numPr>
          <w:ilvl w:val="0"/>
          <w:numId w:val="15"/>
        </w:numPr>
        <w:spacing w:after="120"/>
        <w:jc w:val="both"/>
        <w:rPr>
          <w:rFonts w:ascii="Arial" w:eastAsia="Batang" w:hAnsi="Arial" w:cs="Arial"/>
        </w:rPr>
      </w:pPr>
      <w:r w:rsidRPr="006A7B20">
        <w:rPr>
          <w:rFonts w:ascii="Arial" w:eastAsia="Batang" w:hAnsi="Arial" w:cs="Arial"/>
        </w:rPr>
        <w:t xml:space="preserve">Les autres fournisseurs doivent utiliser </w:t>
      </w:r>
      <w:r w:rsidR="00472783" w:rsidRPr="006A7B20">
        <w:rPr>
          <w:rFonts w:ascii="Arial" w:eastAsia="Batang" w:hAnsi="Arial" w:cs="Arial"/>
        </w:rPr>
        <w:t>gratuitement la plateforme « </w:t>
      </w:r>
      <w:proofErr w:type="spellStart"/>
      <w:r w:rsidR="00472783" w:rsidRPr="006A7B20">
        <w:rPr>
          <w:rFonts w:ascii="Arial" w:eastAsia="Batang" w:hAnsi="Arial" w:cs="Arial"/>
        </w:rPr>
        <w:t>HéliosWeb</w:t>
      </w:r>
      <w:proofErr w:type="spellEnd"/>
      <w:r w:rsidR="00472783" w:rsidRPr="006A7B20">
        <w:rPr>
          <w:rFonts w:ascii="Arial" w:eastAsia="Batang" w:hAnsi="Arial" w:cs="Arial"/>
        </w:rPr>
        <w:t xml:space="preserve"> » en se connectant sur </w:t>
      </w:r>
      <w:r w:rsidR="00472783" w:rsidRPr="006A7B20">
        <w:rPr>
          <w:rFonts w:ascii="Arial" w:eastAsia="Batang" w:hAnsi="Arial" w:cs="Arial"/>
        </w:rPr>
        <w:tab/>
      </w:r>
      <w:hyperlink r:id="rId8" w:history="1">
        <w:r w:rsidR="00472783" w:rsidRPr="006A7B20">
          <w:rPr>
            <w:rStyle w:val="Lienhypertexte"/>
            <w:rFonts w:ascii="Arial" w:eastAsia="Batang" w:hAnsi="Arial" w:cs="Arial"/>
          </w:rPr>
          <w:t>https://www.heliosweb.eu</w:t>
        </w:r>
      </w:hyperlink>
      <w:r w:rsidRPr="006A7B20">
        <w:rPr>
          <w:rFonts w:ascii="Arial" w:eastAsia="Batang" w:hAnsi="Arial" w:cs="Arial"/>
        </w:rPr>
        <w:t xml:space="preserve"> </w:t>
      </w:r>
    </w:p>
    <w:p w:rsidR="00E12F02" w:rsidRPr="006A7B20" w:rsidRDefault="00E12F02" w:rsidP="002E1A1B">
      <w:pPr>
        <w:numPr>
          <w:ilvl w:val="0"/>
          <w:numId w:val="16"/>
        </w:numPr>
        <w:spacing w:before="240" w:after="240"/>
        <w:jc w:val="both"/>
        <w:rPr>
          <w:rFonts w:ascii="Arial" w:eastAsia="Batang" w:hAnsi="Arial" w:cs="Arial"/>
        </w:rPr>
      </w:pPr>
      <w:r w:rsidRPr="006A7B20">
        <w:rPr>
          <w:rFonts w:ascii="Arial" w:eastAsia="Batang" w:hAnsi="Arial" w:cs="Arial"/>
        </w:rPr>
        <w:t xml:space="preserve">Les offres constituées par Eurydice ou </w:t>
      </w:r>
      <w:proofErr w:type="spellStart"/>
      <w:r w:rsidRPr="006A7B20">
        <w:rPr>
          <w:rFonts w:ascii="Arial" w:eastAsia="Batang" w:hAnsi="Arial" w:cs="Arial"/>
        </w:rPr>
        <w:t>Hélios</w:t>
      </w:r>
      <w:r w:rsidR="001E25F7" w:rsidRPr="006A7B20">
        <w:rPr>
          <w:rFonts w:ascii="Arial" w:eastAsia="Batang" w:hAnsi="Arial" w:cs="Arial"/>
        </w:rPr>
        <w:t>Web</w:t>
      </w:r>
      <w:proofErr w:type="spellEnd"/>
      <w:r w:rsidRPr="006A7B20">
        <w:rPr>
          <w:rFonts w:ascii="Arial" w:eastAsia="Batang" w:hAnsi="Arial" w:cs="Arial"/>
        </w:rPr>
        <w:t xml:space="preserve"> (sous forme de fichiers cryptés </w:t>
      </w:r>
      <w:r w:rsidRPr="006A7B20">
        <w:rPr>
          <w:rFonts w:ascii="Arial" w:eastAsia="Batang" w:hAnsi="Arial" w:cs="Arial"/>
          <w:b/>
        </w:rPr>
        <w:t>format CRY</w:t>
      </w:r>
      <w:r w:rsidRPr="006A7B20">
        <w:rPr>
          <w:rFonts w:ascii="Arial" w:eastAsia="Batang" w:hAnsi="Arial" w:cs="Arial"/>
        </w:rPr>
        <w:t>), sont à retourner sous forme</w:t>
      </w:r>
      <w:bookmarkStart w:id="1" w:name="_GoBack"/>
      <w:bookmarkEnd w:id="1"/>
      <w:r w:rsidRPr="006A7B20">
        <w:rPr>
          <w:rFonts w:ascii="Arial" w:eastAsia="Batang" w:hAnsi="Arial" w:cs="Arial"/>
        </w:rPr>
        <w:t xml:space="preserve"> électronique avec les autres pièces du marché.</w:t>
      </w:r>
    </w:p>
    <w:p w:rsidR="00E12F02" w:rsidRPr="006A7B20" w:rsidRDefault="00E12F02" w:rsidP="00B36EDF">
      <w:pPr>
        <w:numPr>
          <w:ilvl w:val="0"/>
          <w:numId w:val="26"/>
        </w:numPr>
        <w:tabs>
          <w:tab w:val="clear" w:pos="720"/>
          <w:tab w:val="num" w:pos="540"/>
        </w:tabs>
        <w:spacing w:before="480"/>
        <w:ind w:left="540" w:hanging="540"/>
        <w:rPr>
          <w:rFonts w:ascii="Arial" w:eastAsia="Batang" w:hAnsi="Arial" w:cs="Arial"/>
          <w:b/>
          <w:sz w:val="28"/>
          <w:szCs w:val="28"/>
        </w:rPr>
      </w:pPr>
      <w:r w:rsidRPr="006A7B20">
        <w:rPr>
          <w:rFonts w:ascii="Arial" w:eastAsia="Batang" w:hAnsi="Arial" w:cs="Arial"/>
          <w:b/>
          <w:sz w:val="28"/>
          <w:szCs w:val="28"/>
        </w:rPr>
        <w:t>Principes méthodologiques</w:t>
      </w:r>
    </w:p>
    <w:p w:rsidR="00E12F02" w:rsidRPr="006A7B20" w:rsidRDefault="00E12F02" w:rsidP="002E1A1B">
      <w:pPr>
        <w:numPr>
          <w:ilvl w:val="0"/>
          <w:numId w:val="17"/>
        </w:numPr>
        <w:spacing w:before="240" w:after="240"/>
        <w:jc w:val="both"/>
        <w:rPr>
          <w:rFonts w:ascii="Arial" w:eastAsia="Batang" w:hAnsi="Arial" w:cs="Arial"/>
        </w:rPr>
      </w:pPr>
      <w:r w:rsidRPr="006A7B20">
        <w:rPr>
          <w:rFonts w:ascii="Arial" w:eastAsia="Batang" w:hAnsi="Arial" w:cs="Arial"/>
        </w:rPr>
        <w:t xml:space="preserve">Les </w:t>
      </w:r>
      <w:r w:rsidRPr="006A7B20">
        <w:rPr>
          <w:rFonts w:ascii="Arial" w:eastAsia="Batang" w:hAnsi="Arial" w:cs="Arial"/>
          <w:b/>
        </w:rPr>
        <w:t xml:space="preserve">N° de lots et sous lots doivent être respectés </w:t>
      </w:r>
      <w:r w:rsidRPr="006A7B20">
        <w:rPr>
          <w:rFonts w:ascii="Arial" w:eastAsia="Batang" w:hAnsi="Arial" w:cs="Arial"/>
        </w:rPr>
        <w:t>(ne pas modifier les N°, ni ajouter des N°).</w:t>
      </w:r>
    </w:p>
    <w:p w:rsidR="00E12F02" w:rsidRPr="006A7B20" w:rsidRDefault="00E12F02" w:rsidP="002E1A1B">
      <w:pPr>
        <w:numPr>
          <w:ilvl w:val="0"/>
          <w:numId w:val="18"/>
        </w:numPr>
        <w:spacing w:after="240"/>
        <w:jc w:val="both"/>
        <w:rPr>
          <w:rFonts w:ascii="Arial" w:eastAsia="Batang" w:hAnsi="Arial" w:cs="Arial"/>
        </w:rPr>
      </w:pPr>
      <w:r w:rsidRPr="006A7B20">
        <w:rPr>
          <w:rFonts w:ascii="Arial" w:eastAsia="Batang" w:hAnsi="Arial" w:cs="Arial"/>
        </w:rPr>
        <w:t xml:space="preserve">Les </w:t>
      </w:r>
      <w:r w:rsidRPr="006A7B20">
        <w:rPr>
          <w:rFonts w:ascii="Arial" w:eastAsia="Batang" w:hAnsi="Arial" w:cs="Arial"/>
          <w:b/>
        </w:rPr>
        <w:t>variantes</w:t>
      </w:r>
      <w:r w:rsidRPr="006A7B20">
        <w:rPr>
          <w:rFonts w:ascii="Arial" w:eastAsia="Batang" w:hAnsi="Arial" w:cs="Arial"/>
        </w:rPr>
        <w:t xml:space="preserve"> ne doivent pas être saisies comme des lots ou des sous lots complémentaires mais bien en variantes de la proposition de base.</w:t>
      </w:r>
    </w:p>
    <w:p w:rsidR="00E12F02" w:rsidRPr="006A7B20" w:rsidRDefault="00E12F02" w:rsidP="002E1A1B">
      <w:pPr>
        <w:numPr>
          <w:ilvl w:val="0"/>
          <w:numId w:val="19"/>
        </w:numPr>
        <w:spacing w:after="240"/>
        <w:jc w:val="both"/>
        <w:rPr>
          <w:rFonts w:ascii="Arial" w:eastAsia="Batang" w:hAnsi="Arial" w:cs="Arial"/>
        </w:rPr>
      </w:pPr>
      <w:r w:rsidRPr="006A7B20">
        <w:rPr>
          <w:rFonts w:ascii="Arial" w:eastAsia="Batang" w:hAnsi="Arial" w:cs="Arial"/>
        </w:rPr>
        <w:t>Les quantités des variantes ne doivent pas être nulles.</w:t>
      </w:r>
    </w:p>
    <w:p w:rsidR="00E12F02" w:rsidRPr="006A7B20" w:rsidRDefault="00E12F02" w:rsidP="002E1A1B">
      <w:pPr>
        <w:numPr>
          <w:ilvl w:val="0"/>
          <w:numId w:val="20"/>
        </w:numPr>
        <w:spacing w:after="240"/>
        <w:jc w:val="both"/>
        <w:rPr>
          <w:rFonts w:ascii="Arial" w:eastAsia="Batang" w:hAnsi="Arial" w:cs="Arial"/>
        </w:rPr>
      </w:pPr>
      <w:r w:rsidRPr="006A7B20">
        <w:rPr>
          <w:rFonts w:ascii="Arial" w:eastAsia="Batang" w:hAnsi="Arial" w:cs="Arial"/>
        </w:rPr>
        <w:lastRenderedPageBreak/>
        <w:t>Les prix des variantes ne doivent pas être nuls.</w:t>
      </w:r>
    </w:p>
    <w:p w:rsidR="00E12F02" w:rsidRPr="006A7B20" w:rsidRDefault="00E12F02" w:rsidP="002E1A1B">
      <w:pPr>
        <w:numPr>
          <w:ilvl w:val="0"/>
          <w:numId w:val="21"/>
        </w:numPr>
        <w:spacing w:after="240"/>
        <w:jc w:val="both"/>
        <w:rPr>
          <w:rFonts w:ascii="Arial" w:eastAsia="Batang" w:hAnsi="Arial" w:cs="Arial"/>
          <w:b/>
        </w:rPr>
      </w:pPr>
      <w:r w:rsidRPr="006A7B20">
        <w:rPr>
          <w:rFonts w:ascii="Arial" w:eastAsia="Batang" w:hAnsi="Arial" w:cs="Arial"/>
          <w:b/>
        </w:rPr>
        <w:t>1 catalogue (1 fichier CMP) doit donner lieu à 1 offre (1 fichier CRY).</w:t>
      </w:r>
    </w:p>
    <w:p w:rsidR="00E12F02" w:rsidRPr="006A7B20" w:rsidRDefault="00E12F02" w:rsidP="002E1A1B">
      <w:pPr>
        <w:numPr>
          <w:ilvl w:val="0"/>
          <w:numId w:val="22"/>
        </w:numPr>
        <w:spacing w:after="240"/>
        <w:jc w:val="both"/>
        <w:rPr>
          <w:rFonts w:ascii="Arial" w:eastAsia="Batang" w:hAnsi="Arial" w:cs="Arial"/>
        </w:rPr>
      </w:pPr>
      <w:r w:rsidRPr="006A7B20">
        <w:rPr>
          <w:rFonts w:ascii="Arial" w:eastAsia="Batang" w:hAnsi="Arial" w:cs="Arial"/>
        </w:rPr>
        <w:t>Les références de vos produits doivent figurer dans la zone référence.</w:t>
      </w:r>
    </w:p>
    <w:p w:rsidR="00E12F02" w:rsidRPr="006A7B20" w:rsidRDefault="00E12F02" w:rsidP="002E1A1B">
      <w:pPr>
        <w:numPr>
          <w:ilvl w:val="0"/>
          <w:numId w:val="23"/>
        </w:numPr>
        <w:spacing w:after="240"/>
        <w:jc w:val="both"/>
        <w:rPr>
          <w:rFonts w:ascii="Arial" w:eastAsia="Batang" w:hAnsi="Arial" w:cs="Arial"/>
        </w:rPr>
      </w:pPr>
      <w:r w:rsidRPr="006A7B20">
        <w:rPr>
          <w:rFonts w:ascii="Arial" w:eastAsia="Batang" w:hAnsi="Arial" w:cs="Arial"/>
        </w:rPr>
        <w:t>La zone produit ou spécialité doit contenir le nom ou la référence du produit si celle-ci ne contient pas dans la zone référence.</w:t>
      </w:r>
    </w:p>
    <w:p w:rsidR="00E12F02" w:rsidRPr="006A7B20" w:rsidRDefault="00E12F02" w:rsidP="002E1A1B">
      <w:pPr>
        <w:numPr>
          <w:ilvl w:val="0"/>
          <w:numId w:val="24"/>
        </w:numPr>
        <w:spacing w:after="240"/>
        <w:jc w:val="both"/>
        <w:rPr>
          <w:rFonts w:ascii="Arial" w:eastAsia="Batang" w:hAnsi="Arial" w:cs="Arial"/>
        </w:rPr>
      </w:pPr>
      <w:r w:rsidRPr="006A7B20">
        <w:rPr>
          <w:rFonts w:ascii="Arial" w:eastAsia="Batang" w:hAnsi="Arial" w:cs="Arial"/>
        </w:rPr>
        <w:t>Les zones « descriptifs » et « observation » permettent de compléter la spécialité.</w:t>
      </w:r>
    </w:p>
    <w:p w:rsidR="00E12F02" w:rsidRPr="006A7B20" w:rsidRDefault="00E12F02" w:rsidP="002E1A1B">
      <w:pPr>
        <w:numPr>
          <w:ilvl w:val="0"/>
          <w:numId w:val="25"/>
        </w:numPr>
        <w:spacing w:after="240"/>
        <w:jc w:val="both"/>
        <w:rPr>
          <w:rFonts w:ascii="Arial" w:eastAsia="Batang" w:hAnsi="Arial" w:cs="Arial"/>
        </w:rPr>
      </w:pPr>
      <w:r w:rsidRPr="006A7B20">
        <w:rPr>
          <w:rFonts w:ascii="Arial" w:eastAsia="Batang" w:hAnsi="Arial" w:cs="Arial"/>
        </w:rPr>
        <w:t>Des documents techniques annexes peuvent être joints à l’offre sous forme de fichiers Word ou Excel.</w:t>
      </w:r>
    </w:p>
    <w:sectPr w:rsidR="00E12F02" w:rsidRPr="006A7B20">
      <w:headerReference w:type="default" r:id="rId9"/>
      <w:footerReference w:type="default" r:id="rId10"/>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123B" w:rsidRDefault="00EE123B">
      <w:r>
        <w:separator/>
      </w:r>
    </w:p>
  </w:endnote>
  <w:endnote w:type="continuationSeparator" w:id="0">
    <w:p w:rsidR="00EE123B" w:rsidRDefault="00EE1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1E0" w:firstRow="1" w:lastRow="1" w:firstColumn="1" w:lastColumn="1" w:noHBand="0" w:noVBand="0"/>
    </w:tblPr>
    <w:tblGrid>
      <w:gridCol w:w="2763"/>
      <w:gridCol w:w="5322"/>
      <w:gridCol w:w="1553"/>
    </w:tblGrid>
    <w:tr w:rsidR="00E12F02" w:rsidRPr="00790B5A">
      <w:tc>
        <w:tcPr>
          <w:tcW w:w="2808" w:type="dxa"/>
        </w:tcPr>
        <w:p w:rsidR="00E12F02" w:rsidRPr="00790B5A" w:rsidRDefault="00E12F02">
          <w:pPr>
            <w:pStyle w:val="Pieddepage"/>
            <w:rPr>
              <w:sz w:val="16"/>
              <w:szCs w:val="16"/>
            </w:rPr>
          </w:pPr>
        </w:p>
      </w:tc>
      <w:tc>
        <w:tcPr>
          <w:tcW w:w="5400" w:type="dxa"/>
        </w:tcPr>
        <w:p w:rsidR="00E12F02" w:rsidRPr="006A7B20" w:rsidRDefault="003D3DE1" w:rsidP="00A44F6B">
          <w:pPr>
            <w:pStyle w:val="Pieddepage"/>
            <w:jc w:val="center"/>
            <w:rPr>
              <w:rFonts w:ascii="Arial" w:hAnsi="Arial" w:cs="Arial"/>
              <w:sz w:val="16"/>
              <w:szCs w:val="16"/>
            </w:rPr>
          </w:pPr>
          <w:r w:rsidRPr="006A7B20">
            <w:rPr>
              <w:rFonts w:ascii="Arial" w:hAnsi="Arial" w:cs="Arial"/>
              <w:sz w:val="16"/>
              <w:szCs w:val="16"/>
            </w:rPr>
            <w:t xml:space="preserve">Procédure n° </w:t>
          </w:r>
          <w:r w:rsidR="00A44F6B" w:rsidRPr="006A7B20">
            <w:rPr>
              <w:rFonts w:ascii="Arial" w:hAnsi="Arial" w:cs="Arial"/>
              <w:sz w:val="16"/>
              <w:szCs w:val="16"/>
            </w:rPr>
            <w:t>202</w:t>
          </w:r>
          <w:r w:rsidR="00C441F2" w:rsidRPr="006A7B20">
            <w:rPr>
              <w:rFonts w:ascii="Arial" w:hAnsi="Arial" w:cs="Arial"/>
              <w:sz w:val="16"/>
              <w:szCs w:val="16"/>
            </w:rPr>
            <w:t>5</w:t>
          </w:r>
          <w:r w:rsidR="00A44F6B" w:rsidRPr="006A7B20">
            <w:rPr>
              <w:rFonts w:ascii="Arial" w:hAnsi="Arial" w:cs="Arial"/>
              <w:sz w:val="16"/>
              <w:szCs w:val="16"/>
            </w:rPr>
            <w:t>-PH-</w:t>
          </w:r>
          <w:r w:rsidR="009A4D75">
            <w:rPr>
              <w:rFonts w:ascii="Arial" w:hAnsi="Arial" w:cs="Arial"/>
              <w:sz w:val="16"/>
              <w:szCs w:val="16"/>
            </w:rPr>
            <w:t>206</w:t>
          </w:r>
        </w:p>
      </w:tc>
      <w:tc>
        <w:tcPr>
          <w:tcW w:w="1570" w:type="dxa"/>
        </w:tcPr>
        <w:p w:rsidR="00E12F02" w:rsidRPr="006A7B20" w:rsidRDefault="00E12F02">
          <w:pPr>
            <w:pStyle w:val="Pieddepage"/>
            <w:jc w:val="right"/>
            <w:rPr>
              <w:rFonts w:ascii="Arial" w:hAnsi="Arial" w:cs="Arial"/>
              <w:sz w:val="16"/>
              <w:szCs w:val="16"/>
            </w:rPr>
          </w:pPr>
          <w:r w:rsidRPr="006A7B20">
            <w:rPr>
              <w:rFonts w:ascii="Arial" w:hAnsi="Arial" w:cs="Arial"/>
              <w:sz w:val="16"/>
              <w:szCs w:val="16"/>
            </w:rPr>
            <w:t xml:space="preserve">Page </w:t>
          </w:r>
          <w:r w:rsidRPr="006A7B20">
            <w:rPr>
              <w:rStyle w:val="Numrodepage"/>
              <w:rFonts w:ascii="Arial" w:hAnsi="Arial" w:cs="Arial"/>
              <w:sz w:val="16"/>
              <w:szCs w:val="16"/>
            </w:rPr>
            <w:fldChar w:fldCharType="begin"/>
          </w:r>
          <w:r w:rsidRPr="006A7B20">
            <w:rPr>
              <w:rStyle w:val="Numrodepage"/>
              <w:rFonts w:ascii="Arial" w:hAnsi="Arial" w:cs="Arial"/>
              <w:sz w:val="16"/>
              <w:szCs w:val="16"/>
            </w:rPr>
            <w:instrText xml:space="preserve"> PAGE </w:instrText>
          </w:r>
          <w:r w:rsidRPr="006A7B20">
            <w:rPr>
              <w:rStyle w:val="Numrodepage"/>
              <w:rFonts w:ascii="Arial" w:hAnsi="Arial" w:cs="Arial"/>
              <w:sz w:val="16"/>
              <w:szCs w:val="16"/>
            </w:rPr>
            <w:fldChar w:fldCharType="separate"/>
          </w:r>
          <w:r w:rsidR="001A617B" w:rsidRPr="006A7B20">
            <w:rPr>
              <w:rStyle w:val="Numrodepage"/>
              <w:rFonts w:ascii="Arial" w:hAnsi="Arial" w:cs="Arial"/>
              <w:noProof/>
              <w:sz w:val="16"/>
              <w:szCs w:val="16"/>
            </w:rPr>
            <w:t>2</w:t>
          </w:r>
          <w:r w:rsidRPr="006A7B20">
            <w:rPr>
              <w:rStyle w:val="Numrodepage"/>
              <w:rFonts w:ascii="Arial" w:hAnsi="Arial" w:cs="Arial"/>
              <w:sz w:val="16"/>
              <w:szCs w:val="16"/>
            </w:rPr>
            <w:fldChar w:fldCharType="end"/>
          </w:r>
          <w:r w:rsidRPr="006A7B20">
            <w:rPr>
              <w:rStyle w:val="Numrodepage"/>
              <w:rFonts w:ascii="Arial" w:hAnsi="Arial" w:cs="Arial"/>
              <w:sz w:val="16"/>
              <w:szCs w:val="16"/>
            </w:rPr>
            <w:t>/</w:t>
          </w:r>
          <w:r w:rsidRPr="006A7B20">
            <w:rPr>
              <w:rStyle w:val="Numrodepage"/>
              <w:rFonts w:ascii="Arial" w:hAnsi="Arial" w:cs="Arial"/>
              <w:sz w:val="16"/>
              <w:szCs w:val="16"/>
            </w:rPr>
            <w:fldChar w:fldCharType="begin"/>
          </w:r>
          <w:r w:rsidRPr="006A7B20">
            <w:rPr>
              <w:rStyle w:val="Numrodepage"/>
              <w:rFonts w:ascii="Arial" w:hAnsi="Arial" w:cs="Arial"/>
              <w:sz w:val="16"/>
              <w:szCs w:val="16"/>
            </w:rPr>
            <w:instrText xml:space="preserve"> NUMPAGES </w:instrText>
          </w:r>
          <w:r w:rsidRPr="006A7B20">
            <w:rPr>
              <w:rStyle w:val="Numrodepage"/>
              <w:rFonts w:ascii="Arial" w:hAnsi="Arial" w:cs="Arial"/>
              <w:sz w:val="16"/>
              <w:szCs w:val="16"/>
            </w:rPr>
            <w:fldChar w:fldCharType="separate"/>
          </w:r>
          <w:r w:rsidR="001A617B" w:rsidRPr="006A7B20">
            <w:rPr>
              <w:rStyle w:val="Numrodepage"/>
              <w:rFonts w:ascii="Arial" w:hAnsi="Arial" w:cs="Arial"/>
              <w:noProof/>
              <w:sz w:val="16"/>
              <w:szCs w:val="16"/>
            </w:rPr>
            <w:t>2</w:t>
          </w:r>
          <w:r w:rsidRPr="006A7B20">
            <w:rPr>
              <w:rStyle w:val="Numrodepage"/>
              <w:rFonts w:ascii="Arial" w:hAnsi="Arial" w:cs="Arial"/>
              <w:sz w:val="16"/>
              <w:szCs w:val="16"/>
            </w:rPr>
            <w:fldChar w:fldCharType="end"/>
          </w:r>
          <w:bookmarkStart w:id="2" w:name="_Toc167864148"/>
        </w:p>
      </w:tc>
    </w:tr>
    <w:bookmarkEnd w:id="2"/>
  </w:tbl>
  <w:p w:rsidR="00E12F02" w:rsidRPr="00B36EDF" w:rsidRDefault="00E12F02">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123B" w:rsidRDefault="00EE123B">
      <w:r>
        <w:separator/>
      </w:r>
    </w:p>
  </w:footnote>
  <w:footnote w:type="continuationSeparator" w:id="0">
    <w:p w:rsidR="00EE123B" w:rsidRDefault="00EE12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2F02" w:rsidRPr="006A7B20" w:rsidRDefault="00E12F02" w:rsidP="003D3DE1">
    <w:pPr>
      <w:pStyle w:val="En-tte"/>
      <w:jc w:val="right"/>
      <w:rPr>
        <w:rFonts w:ascii="Arial" w:hAnsi="Arial" w:cs="Arial"/>
        <w:b/>
        <w:bCs/>
        <w:sz w:val="20"/>
        <w:szCs w:val="20"/>
      </w:rPr>
    </w:pPr>
    <w:r w:rsidRPr="006A7B20">
      <w:rPr>
        <w:rFonts w:ascii="Arial" w:hAnsi="Arial" w:cs="Arial"/>
        <w:b/>
        <w:bCs/>
        <w:sz w:val="20"/>
        <w:szCs w:val="20"/>
      </w:rPr>
      <w:t xml:space="preserve">Annexe </w:t>
    </w:r>
    <w:r w:rsidR="007F573E" w:rsidRPr="006A7B20">
      <w:rPr>
        <w:rFonts w:ascii="Arial" w:hAnsi="Arial" w:cs="Arial"/>
        <w:b/>
        <w:bCs/>
        <w:sz w:val="20"/>
        <w:szCs w:val="20"/>
      </w:rPr>
      <w:t>2</w:t>
    </w:r>
    <w:r w:rsidR="00707C6E" w:rsidRPr="006A7B20">
      <w:rPr>
        <w:rFonts w:ascii="Arial" w:hAnsi="Arial" w:cs="Arial"/>
        <w:b/>
        <w:bCs/>
        <w:sz w:val="20"/>
        <w:szCs w:val="20"/>
      </w:rPr>
      <w:t xml:space="preserve"> d</w:t>
    </w:r>
    <w:r w:rsidR="00576141" w:rsidRPr="006A7B20">
      <w:rPr>
        <w:rFonts w:ascii="Arial" w:hAnsi="Arial" w:cs="Arial"/>
        <w:b/>
        <w:bCs/>
        <w:sz w:val="20"/>
        <w:szCs w:val="20"/>
      </w:rPr>
      <w:t>u</w:t>
    </w:r>
    <w:r w:rsidR="00707C6E" w:rsidRPr="006A7B20">
      <w:rPr>
        <w:rFonts w:ascii="Arial" w:hAnsi="Arial" w:cs="Arial"/>
        <w:b/>
        <w:bCs/>
        <w:sz w:val="20"/>
        <w:szCs w:val="20"/>
      </w:rPr>
      <w:t xml:space="preserve"> </w:t>
    </w:r>
    <w:r w:rsidR="00576141" w:rsidRPr="006A7B20">
      <w:rPr>
        <w:rFonts w:ascii="Arial" w:hAnsi="Arial" w:cs="Arial"/>
        <w:b/>
        <w:bCs/>
        <w:sz w:val="20"/>
        <w:szCs w:val="20"/>
      </w:rPr>
      <w:t>R</w:t>
    </w:r>
    <w:r w:rsidR="00707C6E" w:rsidRPr="006A7B20">
      <w:rPr>
        <w:rFonts w:ascii="Arial" w:hAnsi="Arial" w:cs="Arial"/>
        <w:b/>
        <w:bCs/>
        <w:sz w:val="20"/>
        <w:szCs w:val="20"/>
      </w:rPr>
      <w:t>C</w:t>
    </w:r>
  </w:p>
  <w:p w:rsidR="003D3DE1" w:rsidRPr="00B36EDF" w:rsidRDefault="00EE123B" w:rsidP="003D3DE1">
    <w:pPr>
      <w:pStyle w:val="En-tte"/>
      <w:rPr>
        <w:b/>
        <w:bCs/>
        <w:sz w:val="20"/>
        <w:szCs w:val="20"/>
      </w:rPr>
    </w:pPr>
    <w:r>
      <w:rPr>
        <w:noProof/>
      </w:rPr>
      <w:drawing>
        <wp:inline distT="0" distB="0" distL="0" distR="0" wp14:anchorId="596A5557" wp14:editId="5F58CD96">
          <wp:extent cx="1354455" cy="690245"/>
          <wp:effectExtent l="0" t="0" r="0" b="0"/>
          <wp:docPr id="1" name="Image 1"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4455" cy="6902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clip_image001"/>
      </v:shape>
    </w:pict>
  </w:numPicBullet>
  <w:numPicBullet w:numPicBulletId="1">
    <w:pict>
      <v:shape id="_x0000_i1027" type="#_x0000_t75" style="width:9pt;height:9pt" o:bullet="t">
        <v:imagedata r:id="rId2" o:title="clip_image002"/>
      </v:shape>
    </w:pict>
  </w:numPicBullet>
  <w:numPicBullet w:numPicBulletId="2">
    <w:pict>
      <v:shape id="_x0000_i1028" type="#_x0000_t75" style="width:9pt;height:9pt" o:bullet="t">
        <v:imagedata r:id="rId3" o:title="BD21296_"/>
      </v:shape>
    </w:pict>
  </w:numPicBullet>
  <w:numPicBullet w:numPicBulletId="3">
    <w:pict>
      <v:shape id="_x0000_i1029" type="#_x0000_t75" style="width:11.25pt;height:11.25pt" o:bullet="t">
        <v:imagedata r:id="rId4" o:title="BD15057_"/>
      </v:shape>
    </w:pict>
  </w:numPicBullet>
  <w:abstractNum w:abstractNumId="0" w15:restartNumberingAfterBreak="0">
    <w:nsid w:val="08FA0601"/>
    <w:multiLevelType w:val="multilevel"/>
    <w:tmpl w:val="12D6FC36"/>
    <w:lvl w:ilvl="0">
      <w:start w:val="1"/>
      <w:numFmt w:val="bullet"/>
      <w:lvlText w:val=""/>
      <w:lvlPicBulletId w:val="3"/>
      <w:lvlJc w:val="left"/>
      <w:pPr>
        <w:tabs>
          <w:tab w:val="num" w:pos="360"/>
        </w:tabs>
        <w:ind w:left="3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8F5ABE"/>
    <w:multiLevelType w:val="hybridMultilevel"/>
    <w:tmpl w:val="E98C1E14"/>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CB398C"/>
    <w:multiLevelType w:val="hybridMultilevel"/>
    <w:tmpl w:val="B992AB50"/>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667DDE"/>
    <w:multiLevelType w:val="hybridMultilevel"/>
    <w:tmpl w:val="12D6FC36"/>
    <w:lvl w:ilvl="0" w:tplc="C24A26C6">
      <w:start w:val="1"/>
      <w:numFmt w:val="bullet"/>
      <w:lvlText w:val=""/>
      <w:lvlPicBulletId w:val="3"/>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5E353C"/>
    <w:multiLevelType w:val="hybridMultilevel"/>
    <w:tmpl w:val="EC30844A"/>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2C3A08"/>
    <w:multiLevelType w:val="hybridMultilevel"/>
    <w:tmpl w:val="E8EC4216"/>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941FC3"/>
    <w:multiLevelType w:val="hybridMultilevel"/>
    <w:tmpl w:val="4ED6EF52"/>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DD0B12"/>
    <w:multiLevelType w:val="hybridMultilevel"/>
    <w:tmpl w:val="C952EA92"/>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A007CC"/>
    <w:multiLevelType w:val="hybridMultilevel"/>
    <w:tmpl w:val="8B3E4616"/>
    <w:lvl w:ilvl="0" w:tplc="C19066D4">
      <w:start w:val="1"/>
      <w:numFmt w:val="bullet"/>
      <w:lvlText w:val=""/>
      <w:lvlPicBulletId w:val="1"/>
      <w:lvlJc w:val="left"/>
      <w:pPr>
        <w:tabs>
          <w:tab w:val="num" w:pos="360"/>
        </w:tabs>
        <w:ind w:left="360" w:hanging="360"/>
      </w:pPr>
      <w:rPr>
        <w:rFonts w:ascii="Symbol" w:hAnsi="Symbol" w:hint="default"/>
        <w:color w:val="auto"/>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2CAA2AB1"/>
    <w:multiLevelType w:val="hybridMultilevel"/>
    <w:tmpl w:val="1BE0A9C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2CE451F7"/>
    <w:multiLevelType w:val="hybridMultilevel"/>
    <w:tmpl w:val="71B0CE20"/>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DCB562C"/>
    <w:multiLevelType w:val="hybridMultilevel"/>
    <w:tmpl w:val="2A265EB8"/>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429A401B"/>
    <w:multiLevelType w:val="hybridMultilevel"/>
    <w:tmpl w:val="15385972"/>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E328FE"/>
    <w:multiLevelType w:val="hybridMultilevel"/>
    <w:tmpl w:val="9E7201C6"/>
    <w:lvl w:ilvl="0" w:tplc="C19066D4">
      <w:start w:val="1"/>
      <w:numFmt w:val="bullet"/>
      <w:lvlText w:val=""/>
      <w:lvlPicBulletId w:val="2"/>
      <w:lvlJc w:val="left"/>
      <w:pPr>
        <w:tabs>
          <w:tab w:val="num" w:pos="360"/>
        </w:tabs>
        <w:ind w:left="360" w:hanging="360"/>
      </w:pPr>
      <w:rPr>
        <w:rFonts w:ascii="Symbol" w:hAnsi="Symbol" w:hint="default"/>
        <w:color w:val="auto"/>
      </w:rPr>
    </w:lvl>
    <w:lvl w:ilvl="1" w:tplc="040C0005">
      <w:start w:val="1"/>
      <w:numFmt w:val="bullet"/>
      <w:lvlText w:val=""/>
      <w:lvlJc w:val="left"/>
      <w:pPr>
        <w:tabs>
          <w:tab w:val="num" w:pos="1440"/>
        </w:tabs>
        <w:ind w:left="1440" w:hanging="360"/>
      </w:pPr>
      <w:rPr>
        <w:rFonts w:ascii="Wingdings" w:hAnsi="Wingdings" w:hint="default"/>
        <w:color w:val="auto"/>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15:restartNumberingAfterBreak="0">
    <w:nsid w:val="442A4FC4"/>
    <w:multiLevelType w:val="hybridMultilevel"/>
    <w:tmpl w:val="BA30438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78A30F5"/>
    <w:multiLevelType w:val="hybridMultilevel"/>
    <w:tmpl w:val="A4B8B8D4"/>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5F1F74"/>
    <w:multiLevelType w:val="hybridMultilevel"/>
    <w:tmpl w:val="98BAA6FE"/>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9B5D70"/>
    <w:multiLevelType w:val="hybridMultilevel"/>
    <w:tmpl w:val="A5B23EDA"/>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CFD0E41"/>
    <w:multiLevelType w:val="hybridMultilevel"/>
    <w:tmpl w:val="19B46C0E"/>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D3D3874"/>
    <w:multiLevelType w:val="hybridMultilevel"/>
    <w:tmpl w:val="13760BCA"/>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3F0EAF"/>
    <w:multiLevelType w:val="hybridMultilevel"/>
    <w:tmpl w:val="1C5C6504"/>
    <w:lvl w:ilvl="0" w:tplc="C19066D4">
      <w:start w:val="1"/>
      <w:numFmt w:val="bullet"/>
      <w:lvlText w:val=""/>
      <w:lvlPicBulletId w:val="2"/>
      <w:lvlJc w:val="left"/>
      <w:pPr>
        <w:tabs>
          <w:tab w:val="num" w:pos="360"/>
        </w:tabs>
        <w:ind w:left="360" w:hanging="360"/>
      </w:pPr>
      <w:rPr>
        <w:rFonts w:ascii="Symbol" w:hAnsi="Symbol" w:hint="default"/>
        <w:color w:val="auto"/>
      </w:rPr>
    </w:lvl>
    <w:lvl w:ilvl="1" w:tplc="040C0005">
      <w:start w:val="1"/>
      <w:numFmt w:val="bullet"/>
      <w:lvlText w:val=""/>
      <w:lvlJc w:val="left"/>
      <w:pPr>
        <w:tabs>
          <w:tab w:val="num" w:pos="1440"/>
        </w:tabs>
        <w:ind w:left="1440" w:hanging="360"/>
      </w:pPr>
      <w:rPr>
        <w:rFonts w:ascii="Wingdings" w:hAnsi="Wingdings" w:hint="default"/>
        <w:color w:val="auto"/>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15:restartNumberingAfterBreak="0">
    <w:nsid w:val="60671C4B"/>
    <w:multiLevelType w:val="hybridMultilevel"/>
    <w:tmpl w:val="3E56B8EE"/>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73477D6"/>
    <w:multiLevelType w:val="hybridMultilevel"/>
    <w:tmpl w:val="8A927690"/>
    <w:lvl w:ilvl="0" w:tplc="7FF0C2BE">
      <w:start w:val="1"/>
      <w:numFmt w:val="bullet"/>
      <w:lvlText w:val=""/>
      <w:lvlPicBulletId w:val="0"/>
      <w:lvlJc w:val="left"/>
      <w:pPr>
        <w:tabs>
          <w:tab w:val="num" w:pos="357"/>
        </w:tabs>
        <w:ind w:left="357" w:hanging="357"/>
      </w:pPr>
      <w:rPr>
        <w:rFonts w:ascii="Symbol" w:hAnsi="Symbol" w:hint="default"/>
        <w:color w:val="auto"/>
      </w:rPr>
    </w:lvl>
    <w:lvl w:ilvl="1" w:tplc="040C0005">
      <w:start w:val="1"/>
      <w:numFmt w:val="bullet"/>
      <w:lvlText w:val=""/>
      <w:lvlJc w:val="left"/>
      <w:pPr>
        <w:tabs>
          <w:tab w:val="num" w:pos="1440"/>
        </w:tabs>
        <w:ind w:left="1440" w:hanging="360"/>
      </w:pPr>
      <w:rPr>
        <w:rFonts w:ascii="Wingdings" w:hAnsi="Wingdings" w:hint="default"/>
        <w:color w:val="auto"/>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3" w15:restartNumberingAfterBreak="0">
    <w:nsid w:val="799B73E1"/>
    <w:multiLevelType w:val="hybridMultilevel"/>
    <w:tmpl w:val="7FB01C86"/>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F541F91"/>
    <w:multiLevelType w:val="hybridMultilevel"/>
    <w:tmpl w:val="8A544ECC"/>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20"/>
  </w:num>
  <w:num w:numId="5">
    <w:abstractNumId w:val="8"/>
  </w:num>
  <w:num w:numId="6">
    <w:abstractNumId w:val="3"/>
  </w:num>
  <w:num w:numId="7">
    <w:abstractNumId w:val="9"/>
  </w:num>
  <w:num w:numId="8">
    <w:abstractNumId w:val="0"/>
  </w:num>
  <w:num w:numId="9">
    <w:abstractNumId w:val="24"/>
  </w:num>
  <w:num w:numId="10">
    <w:abstractNumId w:val="10"/>
  </w:num>
  <w:num w:numId="11">
    <w:abstractNumId w:val="5"/>
  </w:num>
  <w:num w:numId="12">
    <w:abstractNumId w:val="19"/>
  </w:num>
  <w:num w:numId="13">
    <w:abstractNumId w:val="16"/>
  </w:num>
  <w:num w:numId="14">
    <w:abstractNumId w:val="1"/>
  </w:num>
  <w:num w:numId="15">
    <w:abstractNumId w:val="6"/>
  </w:num>
  <w:num w:numId="16">
    <w:abstractNumId w:val="18"/>
  </w:num>
  <w:num w:numId="17">
    <w:abstractNumId w:val="23"/>
  </w:num>
  <w:num w:numId="18">
    <w:abstractNumId w:val="14"/>
  </w:num>
  <w:num w:numId="19">
    <w:abstractNumId w:val="7"/>
  </w:num>
  <w:num w:numId="20">
    <w:abstractNumId w:val="17"/>
  </w:num>
  <w:num w:numId="21">
    <w:abstractNumId w:val="15"/>
  </w:num>
  <w:num w:numId="22">
    <w:abstractNumId w:val="2"/>
  </w:num>
  <w:num w:numId="23">
    <w:abstractNumId w:val="21"/>
  </w:num>
  <w:num w:numId="24">
    <w:abstractNumId w:val="4"/>
  </w:num>
  <w:num w:numId="25">
    <w:abstractNumId w:val="12"/>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23B"/>
    <w:rsid w:val="00004B6F"/>
    <w:rsid w:val="00006AC7"/>
    <w:rsid w:val="00065539"/>
    <w:rsid w:val="000A0953"/>
    <w:rsid w:val="00140D8C"/>
    <w:rsid w:val="0015409F"/>
    <w:rsid w:val="001A617B"/>
    <w:rsid w:val="001E25F7"/>
    <w:rsid w:val="001E6FDC"/>
    <w:rsid w:val="002D05B2"/>
    <w:rsid w:val="002E1A1B"/>
    <w:rsid w:val="00314599"/>
    <w:rsid w:val="00324920"/>
    <w:rsid w:val="00344E7E"/>
    <w:rsid w:val="00347070"/>
    <w:rsid w:val="00352A69"/>
    <w:rsid w:val="003D3DE1"/>
    <w:rsid w:val="00437B88"/>
    <w:rsid w:val="00472783"/>
    <w:rsid w:val="004E5513"/>
    <w:rsid w:val="004F2CBC"/>
    <w:rsid w:val="0052634B"/>
    <w:rsid w:val="00552B63"/>
    <w:rsid w:val="00576141"/>
    <w:rsid w:val="00651408"/>
    <w:rsid w:val="00660CD4"/>
    <w:rsid w:val="006A7B20"/>
    <w:rsid w:val="00707C6E"/>
    <w:rsid w:val="00715804"/>
    <w:rsid w:val="00762B3C"/>
    <w:rsid w:val="007875C6"/>
    <w:rsid w:val="00794191"/>
    <w:rsid w:val="007F573E"/>
    <w:rsid w:val="008245EB"/>
    <w:rsid w:val="00825D1E"/>
    <w:rsid w:val="009A4D75"/>
    <w:rsid w:val="009B64E2"/>
    <w:rsid w:val="00A23D8D"/>
    <w:rsid w:val="00A445D2"/>
    <w:rsid w:val="00A44F6B"/>
    <w:rsid w:val="00A909A7"/>
    <w:rsid w:val="00AC3DC0"/>
    <w:rsid w:val="00B36EDF"/>
    <w:rsid w:val="00C438E2"/>
    <w:rsid w:val="00C441F2"/>
    <w:rsid w:val="00C77BF3"/>
    <w:rsid w:val="00C82308"/>
    <w:rsid w:val="00CC7BD1"/>
    <w:rsid w:val="00E12926"/>
    <w:rsid w:val="00E12F02"/>
    <w:rsid w:val="00E802D9"/>
    <w:rsid w:val="00EB19DA"/>
    <w:rsid w:val="00EE123B"/>
    <w:rsid w:val="00EF76E3"/>
    <w:rsid w:val="00FA6F44"/>
    <w:rsid w:val="00FB54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40FFA00D"/>
  <w15:docId w15:val="{44AA1FE9-6AE5-422F-BD88-44E922723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jc w:val="center"/>
      <w:outlineLvl w:val="0"/>
    </w:pPr>
    <w:rPr>
      <w:b/>
      <w:bCs/>
      <w:sz w:val="5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color w:val="0000FF"/>
      <w:u w:val="single"/>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NormalWeb">
    <w:name w:val="Normal (Web)"/>
    <w:basedOn w:val="Normal"/>
    <w:pPr>
      <w:spacing w:before="100" w:beforeAutospacing="1" w:after="100" w:afterAutospacing="1"/>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Textedebulles">
    <w:name w:val="Balloon Text"/>
    <w:basedOn w:val="Normal"/>
    <w:semiHidden/>
    <w:rPr>
      <w:rFonts w:ascii="Tahoma" w:hAnsi="Tahoma" w:cs="Tahoma"/>
      <w:sz w:val="16"/>
      <w:szCs w:val="16"/>
    </w:rPr>
  </w:style>
  <w:style w:type="paragraph" w:customStyle="1" w:styleId="CarCarCarCarCarCarCar">
    <w:name w:val="Car Car Car Car Car Car Car"/>
    <w:basedOn w:val="Normal"/>
    <w:semiHidden/>
    <w:pPr>
      <w:spacing w:after="160" w:line="240" w:lineRule="exact"/>
      <w:jc w:val="right"/>
    </w:pPr>
    <w:rPr>
      <w:rFonts w:ascii="Arial" w:hAnsi="Arial"/>
      <w:color w:val="333333"/>
      <w:sz w:val="20"/>
      <w:lang w:val="en-US" w:eastAsia="en-US"/>
    </w:rPr>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semiHidden/>
    <w:pPr>
      <w:spacing w:after="160" w:line="240" w:lineRule="exact"/>
      <w:jc w:val="right"/>
    </w:pPr>
    <w:rPr>
      <w:rFonts w:ascii="Arial" w:hAnsi="Arial"/>
      <w:color w:val="333333"/>
      <w:sz w:val="20"/>
      <w:lang w:val="en-US" w:eastAsia="en-US"/>
    </w:rPr>
  </w:style>
  <w:style w:type="paragraph" w:customStyle="1" w:styleId="CarCarCarCarCarCarCarCarCarCarCarCarCar">
    <w:name w:val="Car Car Car Car Car Car Car Car Car Car Car Car Car"/>
    <w:basedOn w:val="Normal"/>
    <w:semiHidden/>
    <w:pPr>
      <w:spacing w:after="160" w:line="240" w:lineRule="exact"/>
      <w:jc w:val="right"/>
    </w:pPr>
    <w:rPr>
      <w:rFonts w:ascii="Arial" w:hAnsi="Arial"/>
      <w:color w:val="333333"/>
      <w:sz w:val="20"/>
      <w:lang w:val="en-US" w:eastAsia="en-US"/>
    </w:rPr>
  </w:style>
  <w:style w:type="paragraph" w:customStyle="1" w:styleId="CarCarCarCarCarCarCarCarCarCarCarCarCarCarCarCarCarCarCarCarCarCarCarCarCarCarCarCar">
    <w:name w:val="Car Car Car Car Car Car Car Car Car Car Car Car Car Car Car Car Car Car Car Car Car Car Car Car Car Car Car Car"/>
    <w:basedOn w:val="Normal"/>
    <w:semiHidden/>
    <w:pPr>
      <w:spacing w:after="160" w:line="240" w:lineRule="exact"/>
      <w:jc w:val="right"/>
    </w:pPr>
    <w:rPr>
      <w:rFonts w:ascii="Arial" w:hAnsi="Arial"/>
      <w:color w:val="333333"/>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heliosweb.eu" TargetMode="External"/><Relationship Id="rId3" Type="http://schemas.openxmlformats.org/officeDocument/2006/relationships/settings" Target="settings.xml"/><Relationship Id="rId7" Type="http://schemas.openxmlformats.org/officeDocument/2006/relationships/hyperlink" Target="https://www.heliosweb.e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358</Words>
  <Characters>1962</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Notice d’utilisation du catalogue Cerbère</vt:lpstr>
    </vt:vector>
  </TitlesOfParts>
  <Company>PHARMATIC S.A.</Company>
  <LinksUpToDate>false</LinksUpToDate>
  <CharactersWithSpaces>2316</CharactersWithSpaces>
  <SharedDoc>false</SharedDoc>
  <HLinks>
    <vt:vector size="12" baseType="variant">
      <vt:variant>
        <vt:i4>589915</vt:i4>
      </vt:variant>
      <vt:variant>
        <vt:i4>3</vt:i4>
      </vt:variant>
      <vt:variant>
        <vt:i4>0</vt:i4>
      </vt:variant>
      <vt:variant>
        <vt:i4>5</vt:i4>
      </vt:variant>
      <vt:variant>
        <vt:lpwstr>https://www.heliosweb.eu/</vt:lpwstr>
      </vt:variant>
      <vt:variant>
        <vt:lpwstr/>
      </vt:variant>
      <vt:variant>
        <vt:i4>589915</vt:i4>
      </vt:variant>
      <vt:variant>
        <vt:i4>0</vt:i4>
      </vt:variant>
      <vt:variant>
        <vt:i4>0</vt:i4>
      </vt:variant>
      <vt:variant>
        <vt:i4>5</vt:i4>
      </vt:variant>
      <vt:variant>
        <vt:lpwstr>https://www.heliosweb.eu/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d’utilisation du catalogue Cerbère</dc:title>
  <dc:creator>DIH60023</dc:creator>
  <cp:lastModifiedBy>MAZOUE Christine</cp:lastModifiedBy>
  <cp:revision>5</cp:revision>
  <cp:lastPrinted>2023-05-23T08:44:00Z</cp:lastPrinted>
  <dcterms:created xsi:type="dcterms:W3CDTF">2025-07-15T09:31:00Z</dcterms:created>
  <dcterms:modified xsi:type="dcterms:W3CDTF">2025-11-21T10:56:00Z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1109607416</vt:i4>
  </property>
  <property fmtid="{D5CDD505-2E9C-101B-9397-08002B2CF9AE}" pid="3" name="_EmailSubject">
    <vt:lpwstr/>
  </property>
  <property fmtid="{D5CDD505-2E9C-101B-9397-08002B2CF9AE}" pid="4" name="_AuthorEmail">
    <vt:lpwstr>EvGeslin@chu-angers.fr</vt:lpwstr>
  </property>
  <property fmtid="{D5CDD505-2E9C-101B-9397-08002B2CF9AE}" pid="5" name="_AuthorEmailDisplayName">
    <vt:lpwstr>GESLIN EVELYNE</vt:lpwstr>
  </property>
  <property fmtid="{D5CDD505-2E9C-101B-9397-08002B2CF9AE}" pid="6" name="_ReviewingToolsShownOnce">
    <vt:lpwstr/>
  </property>
</Properties>
</file>